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92" w:rsidRPr="00C55902" w:rsidRDefault="00106892" w:rsidP="00106892">
      <w:pPr>
        <w:tabs>
          <w:tab w:val="left" w:pos="360"/>
          <w:tab w:val="left" w:pos="440"/>
        </w:tabs>
        <w:spacing w:line="360" w:lineRule="auto"/>
        <w:ind w:right="120" w:hanging="880"/>
        <w:jc w:val="both"/>
      </w:pPr>
      <w:r>
        <w:rPr>
          <w:bCs/>
          <w:i/>
        </w:rPr>
        <w:t xml:space="preserve">             </w:t>
      </w:r>
      <w:proofErr w:type="gramStart"/>
      <w:r w:rsidRPr="00C55902">
        <w:rPr>
          <w:bCs/>
          <w:i/>
        </w:rPr>
        <w:t>Table 2.</w:t>
      </w:r>
      <w:proofErr w:type="gramEnd"/>
      <w:r w:rsidRPr="00C55902">
        <w:rPr>
          <w:bCs/>
        </w:rPr>
        <w:t xml:space="preserve"> Spatial distribution pattern of </w:t>
      </w:r>
      <w:r w:rsidRPr="00C55902">
        <w:rPr>
          <w:i/>
          <w:iCs/>
        </w:rPr>
        <w:t xml:space="preserve">P. </w:t>
      </w:r>
      <w:proofErr w:type="spellStart"/>
      <w:r w:rsidRPr="00C55902">
        <w:rPr>
          <w:i/>
          <w:iCs/>
        </w:rPr>
        <w:t>marginatus</w:t>
      </w:r>
      <w:proofErr w:type="spellEnd"/>
      <w:r w:rsidRPr="00C55902">
        <w:rPr>
          <w:bCs/>
        </w:rPr>
        <w:t xml:space="preserve"> in </w:t>
      </w:r>
      <w:r>
        <w:rPr>
          <w:bCs/>
        </w:rPr>
        <w:t xml:space="preserve">thirteen host plant species of </w:t>
      </w:r>
      <w:proofErr w:type="spellStart"/>
      <w:r w:rsidRPr="00C55902">
        <w:rPr>
          <w:bCs/>
        </w:rPr>
        <w:t>euphorbiaceae</w:t>
      </w:r>
      <w:proofErr w:type="spellEnd"/>
      <w:r w:rsidRPr="00C55902">
        <w:rPr>
          <w:bCs/>
        </w:rPr>
        <w:t xml:space="preserve"> family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8"/>
        <w:gridCol w:w="1708"/>
        <w:gridCol w:w="2070"/>
        <w:gridCol w:w="1620"/>
        <w:gridCol w:w="1530"/>
      </w:tblGrid>
      <w:tr w:rsidR="00106892" w:rsidRPr="00C55902" w:rsidTr="0088453D">
        <w:tc>
          <w:tcPr>
            <w:tcW w:w="2718" w:type="dxa"/>
            <w:tcBorders>
              <w:left w:val="nil"/>
              <w:right w:val="nil"/>
            </w:tcBorders>
          </w:tcPr>
          <w:p w:rsidR="00106892" w:rsidRPr="00C55902" w:rsidRDefault="00106892" w:rsidP="0088453D">
            <w:pPr>
              <w:tabs>
                <w:tab w:val="left" w:pos="360"/>
                <w:tab w:val="left" w:pos="440"/>
              </w:tabs>
              <w:ind w:right="60"/>
              <w:jc w:val="center"/>
              <w:rPr>
                <w:bCs/>
              </w:rPr>
            </w:pPr>
            <w:r w:rsidRPr="00C55902">
              <w:rPr>
                <w:bCs/>
              </w:rPr>
              <w:t>Scientific name</w:t>
            </w:r>
          </w:p>
        </w:tc>
        <w:tc>
          <w:tcPr>
            <w:tcW w:w="1708" w:type="dxa"/>
            <w:tcBorders>
              <w:left w:val="nil"/>
              <w:right w:val="nil"/>
            </w:tcBorders>
          </w:tcPr>
          <w:p w:rsidR="00106892" w:rsidRPr="00C55902" w:rsidRDefault="00106892" w:rsidP="0088453D">
            <w:pPr>
              <w:tabs>
                <w:tab w:val="left" w:pos="360"/>
                <w:tab w:val="left" w:pos="440"/>
              </w:tabs>
              <w:ind w:right="60"/>
              <w:jc w:val="center"/>
              <w:rPr>
                <w:bCs/>
              </w:rPr>
            </w:pPr>
            <w:r w:rsidRPr="00C55902">
              <w:rPr>
                <w:bCs/>
              </w:rPr>
              <w:t>Variance to mean ratio (S</w:t>
            </w:r>
            <w:r w:rsidRPr="00C55902">
              <w:rPr>
                <w:bCs/>
                <w:vertAlign w:val="superscript"/>
              </w:rPr>
              <w:t>2</w:t>
            </w:r>
            <w:r w:rsidRPr="00C55902">
              <w:rPr>
                <w:bCs/>
              </w:rPr>
              <w:t>/</w:t>
            </w:r>
            <w:r w:rsidRPr="00C55902">
              <w:rPr>
                <w:bCs/>
                <w:i/>
                <w:iCs/>
              </w:rPr>
              <w:t>m</w:t>
            </w:r>
            <w:r w:rsidRPr="00C55902">
              <w:rPr>
                <w:bCs/>
              </w:rPr>
              <w:t>)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106892" w:rsidRPr="00C55902" w:rsidRDefault="00106892" w:rsidP="0088453D">
            <w:pPr>
              <w:tabs>
                <w:tab w:val="left" w:pos="360"/>
                <w:tab w:val="left" w:pos="440"/>
              </w:tabs>
              <w:ind w:right="60"/>
              <w:jc w:val="center"/>
              <w:rPr>
                <w:bCs/>
              </w:rPr>
            </w:pPr>
            <w:r w:rsidRPr="00C55902">
              <w:rPr>
                <w:bCs/>
              </w:rPr>
              <w:t>Lloyd’s index of patchiness (X*/</w:t>
            </w:r>
            <w:r w:rsidRPr="00C55902">
              <w:rPr>
                <w:bCs/>
                <w:i/>
                <w:iCs/>
              </w:rPr>
              <w:t>m</w:t>
            </w:r>
            <w:r w:rsidRPr="00C55902">
              <w:rPr>
                <w:bCs/>
              </w:rPr>
              <w:t>)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106892" w:rsidRPr="00C55902" w:rsidRDefault="00106892" w:rsidP="0088453D">
            <w:pPr>
              <w:tabs>
                <w:tab w:val="left" w:pos="360"/>
                <w:tab w:val="left" w:pos="440"/>
              </w:tabs>
              <w:ind w:right="60"/>
              <w:jc w:val="center"/>
              <w:rPr>
                <w:bCs/>
              </w:rPr>
            </w:pPr>
            <w:r w:rsidRPr="00C55902">
              <w:rPr>
                <w:bCs/>
              </w:rPr>
              <w:t>David &amp; Moore index</w:t>
            </w:r>
          </w:p>
          <w:p w:rsidR="00106892" w:rsidRPr="00C55902" w:rsidRDefault="00106892" w:rsidP="0088453D">
            <w:pPr>
              <w:tabs>
                <w:tab w:val="left" w:pos="360"/>
                <w:tab w:val="left" w:pos="440"/>
              </w:tabs>
              <w:ind w:right="60"/>
              <w:jc w:val="center"/>
              <w:rPr>
                <w:bCs/>
              </w:rPr>
            </w:pPr>
            <w:r w:rsidRPr="00C55902">
              <w:rPr>
                <w:bCs/>
              </w:rPr>
              <w:t>of clumping (I)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106892" w:rsidRPr="00C55902" w:rsidRDefault="00106892" w:rsidP="0088453D">
            <w:pPr>
              <w:tabs>
                <w:tab w:val="left" w:pos="360"/>
                <w:tab w:val="left" w:pos="440"/>
              </w:tabs>
              <w:ind w:right="60"/>
              <w:jc w:val="center"/>
              <w:rPr>
                <w:bCs/>
              </w:rPr>
            </w:pPr>
            <w:r w:rsidRPr="00C55902">
              <w:rPr>
                <w:bCs/>
              </w:rPr>
              <w:t>Green’s index (</w:t>
            </w:r>
            <w:proofErr w:type="spellStart"/>
            <w:r w:rsidRPr="00C55902">
              <w:rPr>
                <w:bCs/>
              </w:rPr>
              <w:t>C</w:t>
            </w:r>
            <w:r w:rsidRPr="00C55902">
              <w:rPr>
                <w:bCs/>
                <w:vertAlign w:val="subscript"/>
              </w:rPr>
              <w:t>x</w:t>
            </w:r>
            <w:proofErr w:type="spellEnd"/>
            <w:r w:rsidRPr="00C55902">
              <w:rPr>
                <w:bCs/>
              </w:rPr>
              <w:t>)</w:t>
            </w:r>
          </w:p>
        </w:tc>
      </w:tr>
      <w:tr w:rsidR="00106892" w:rsidTr="0088453D">
        <w:tc>
          <w:tcPr>
            <w:tcW w:w="2718" w:type="dxa"/>
            <w:tcBorders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proofErr w:type="spellStart"/>
            <w:r w:rsidRPr="00DC5FA4">
              <w:rPr>
                <w:i/>
                <w:iCs/>
                <w:sz w:val="22"/>
                <w:szCs w:val="22"/>
              </w:rPr>
              <w:t>Acalypha</w:t>
            </w:r>
            <w:proofErr w:type="spellEnd"/>
            <w:r w:rsidRPr="00DC5FA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indica</w:t>
            </w:r>
            <w:proofErr w:type="spellEnd"/>
          </w:p>
        </w:tc>
        <w:tc>
          <w:tcPr>
            <w:tcW w:w="1708" w:type="dxa"/>
            <w:tcBorders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4.24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1.07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3.24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0.65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proofErr w:type="spellStart"/>
            <w:r w:rsidRPr="00DC5FA4">
              <w:rPr>
                <w:i/>
                <w:iCs/>
                <w:sz w:val="22"/>
                <w:szCs w:val="22"/>
              </w:rPr>
              <w:t>Codiaeum</w:t>
            </w:r>
            <w:proofErr w:type="spellEnd"/>
            <w:r w:rsidRPr="00DC5FA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punctatum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4.14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3.14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0.63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proofErr w:type="spellStart"/>
            <w:r w:rsidRPr="00DC5FA4">
              <w:rPr>
                <w:i/>
                <w:iCs/>
                <w:sz w:val="22"/>
                <w:szCs w:val="22"/>
              </w:rPr>
              <w:t>Codiaeum</w:t>
            </w:r>
            <w:proofErr w:type="spellEnd"/>
            <w:r w:rsidRPr="00DC5FA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variegatum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20.00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19.00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3.80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proofErr w:type="spellStart"/>
            <w:r w:rsidRPr="00DC5FA4">
              <w:rPr>
                <w:i/>
                <w:iCs/>
                <w:sz w:val="22"/>
                <w:szCs w:val="22"/>
              </w:rPr>
              <w:t>Datura</w:t>
            </w:r>
            <w:proofErr w:type="spellEnd"/>
            <w:r w:rsidRPr="00DC5FA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stramonium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14.66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13.66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2.73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r w:rsidRPr="00DC5FA4">
              <w:rPr>
                <w:i/>
                <w:iCs/>
                <w:sz w:val="22"/>
                <w:szCs w:val="22"/>
              </w:rPr>
              <w:t xml:space="preserve">Euphorbia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hirta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2.24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0.25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r w:rsidRPr="00DC5FA4">
              <w:rPr>
                <w:i/>
                <w:iCs/>
                <w:sz w:val="22"/>
                <w:szCs w:val="22"/>
              </w:rPr>
              <w:t xml:space="preserve">Euphorbia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heterophylla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15.57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14.57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2.91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r w:rsidRPr="00DC5FA4">
              <w:rPr>
                <w:i/>
                <w:iCs/>
                <w:sz w:val="22"/>
                <w:szCs w:val="22"/>
              </w:rPr>
              <w:t xml:space="preserve">Euphorbia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neriifolia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1.04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0.00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proofErr w:type="spellStart"/>
            <w:r w:rsidRPr="00DC5FA4">
              <w:rPr>
                <w:i/>
                <w:iCs/>
                <w:sz w:val="22"/>
                <w:szCs w:val="22"/>
              </w:rPr>
              <w:t>Hevea</w:t>
            </w:r>
            <w:proofErr w:type="spellEnd"/>
            <w:r w:rsidRPr="00DC5FA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brasiliensis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4.37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3.37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0.68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proofErr w:type="spellStart"/>
            <w:r w:rsidRPr="00DC5FA4">
              <w:rPr>
                <w:i/>
                <w:iCs/>
                <w:sz w:val="22"/>
                <w:szCs w:val="22"/>
              </w:rPr>
              <w:t>Jatropha</w:t>
            </w:r>
            <w:proofErr w:type="spellEnd"/>
            <w:r w:rsidRPr="00DC5FA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curcus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3.14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2.14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0.43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proofErr w:type="spellStart"/>
            <w:r w:rsidRPr="00DC5FA4">
              <w:rPr>
                <w:i/>
                <w:iCs/>
                <w:sz w:val="22"/>
                <w:szCs w:val="22"/>
              </w:rPr>
              <w:t>Jatropha</w:t>
            </w:r>
            <w:proofErr w:type="spellEnd"/>
            <w:r w:rsidRPr="00DC5FA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gossypiifolia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1.90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0.90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0.18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proofErr w:type="spellStart"/>
            <w:r w:rsidRPr="00DC5FA4">
              <w:rPr>
                <w:i/>
                <w:iCs/>
                <w:sz w:val="22"/>
                <w:szCs w:val="22"/>
              </w:rPr>
              <w:t>Manihot</w:t>
            </w:r>
            <w:proofErr w:type="spellEnd"/>
            <w:r w:rsidRPr="00DC5FA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esculenta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186.07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1.83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185.07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37.01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proofErr w:type="spellStart"/>
            <w:r w:rsidRPr="00DC5FA4">
              <w:rPr>
                <w:i/>
                <w:iCs/>
                <w:sz w:val="22"/>
                <w:szCs w:val="22"/>
              </w:rPr>
              <w:t>Phyllanthus</w:t>
            </w:r>
            <w:proofErr w:type="spellEnd"/>
            <w:r w:rsidRPr="00DC5FA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amarus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0.63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-0.37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-0.07</w:t>
            </w:r>
          </w:p>
        </w:tc>
      </w:tr>
      <w:tr w:rsidR="00106892" w:rsidTr="0088453D">
        <w:tc>
          <w:tcPr>
            <w:tcW w:w="2718" w:type="dxa"/>
            <w:tcBorders>
              <w:top w:val="nil"/>
              <w:left w:val="nil"/>
              <w:right w:val="nil"/>
            </w:tcBorders>
          </w:tcPr>
          <w:p w:rsidR="00106892" w:rsidRPr="00DC5FA4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both"/>
              <w:rPr>
                <w:i/>
                <w:iCs/>
              </w:rPr>
            </w:pPr>
            <w:proofErr w:type="spellStart"/>
            <w:r w:rsidRPr="00DC5FA4">
              <w:rPr>
                <w:i/>
                <w:iCs/>
                <w:sz w:val="22"/>
                <w:szCs w:val="22"/>
              </w:rPr>
              <w:t>Phyllanthus</w:t>
            </w:r>
            <w:proofErr w:type="spellEnd"/>
            <w:r w:rsidRPr="00DC5FA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5FA4">
              <w:rPr>
                <w:i/>
                <w:iCs/>
                <w:sz w:val="22"/>
                <w:szCs w:val="22"/>
              </w:rPr>
              <w:t>fraternus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0.80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0.98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-0.20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106892" w:rsidRPr="00862ABE" w:rsidRDefault="00106892" w:rsidP="0088453D">
            <w:pPr>
              <w:tabs>
                <w:tab w:val="left" w:pos="360"/>
                <w:tab w:val="left" w:pos="440"/>
              </w:tabs>
              <w:spacing w:line="360" w:lineRule="auto"/>
              <w:ind w:right="60"/>
              <w:jc w:val="center"/>
            </w:pPr>
            <w:r w:rsidRPr="00862ABE">
              <w:rPr>
                <w:sz w:val="22"/>
                <w:szCs w:val="22"/>
              </w:rPr>
              <w:t>-0.04</w:t>
            </w:r>
          </w:p>
        </w:tc>
      </w:tr>
    </w:tbl>
    <w:p w:rsidR="00106892" w:rsidRDefault="00106892" w:rsidP="00106892">
      <w:pPr>
        <w:numPr>
          <w:ilvl w:val="0"/>
          <w:numId w:val="1"/>
        </w:numPr>
        <w:tabs>
          <w:tab w:val="left" w:pos="360"/>
          <w:tab w:val="left" w:pos="440"/>
        </w:tabs>
        <w:ind w:right="60"/>
        <w:jc w:val="both"/>
      </w:pPr>
      <w:r>
        <w:t>(S</w:t>
      </w:r>
      <w:r w:rsidRPr="00F26629">
        <w:rPr>
          <w:vertAlign w:val="superscript"/>
        </w:rPr>
        <w:t>2</w:t>
      </w:r>
      <w:r>
        <w:t>/</w:t>
      </w:r>
      <w:r w:rsidRPr="00F26629">
        <w:rPr>
          <w:i/>
          <w:iCs/>
        </w:rPr>
        <w:t>m</w:t>
      </w:r>
      <w:r>
        <w:t>) &lt;1 -  uniform dispersion, (S</w:t>
      </w:r>
      <w:r w:rsidRPr="00F26629">
        <w:rPr>
          <w:vertAlign w:val="superscript"/>
        </w:rPr>
        <w:t>2</w:t>
      </w:r>
      <w:r>
        <w:t>/</w:t>
      </w:r>
      <w:r w:rsidRPr="00F26629">
        <w:rPr>
          <w:i/>
          <w:iCs/>
        </w:rPr>
        <w:t>m</w:t>
      </w:r>
      <w:r>
        <w:t>) =1 - random dispersion, and (S</w:t>
      </w:r>
      <w:r w:rsidRPr="00F26629">
        <w:rPr>
          <w:vertAlign w:val="superscript"/>
        </w:rPr>
        <w:t>2</w:t>
      </w:r>
      <w:r>
        <w:t>/</w:t>
      </w:r>
      <w:r w:rsidRPr="00F26629">
        <w:rPr>
          <w:i/>
          <w:iCs/>
        </w:rPr>
        <w:t>m</w:t>
      </w:r>
      <w:r>
        <w:t>)  &gt;1 - an aggregated dispersion</w:t>
      </w:r>
    </w:p>
    <w:p w:rsidR="00106892" w:rsidRDefault="00106892" w:rsidP="00106892">
      <w:pPr>
        <w:numPr>
          <w:ilvl w:val="0"/>
          <w:numId w:val="1"/>
        </w:numPr>
        <w:tabs>
          <w:tab w:val="left" w:pos="360"/>
          <w:tab w:val="left" w:pos="440"/>
        </w:tabs>
        <w:ind w:right="60"/>
        <w:jc w:val="both"/>
      </w:pPr>
      <w:r>
        <w:t>X*/</w:t>
      </w:r>
      <w:r w:rsidRPr="00224BE7">
        <w:rPr>
          <w:i/>
          <w:iCs/>
        </w:rPr>
        <w:t>m</w:t>
      </w:r>
      <w:r>
        <w:t xml:space="preserve"> = 1 – random dispersion, &lt;1 – regular dispersion and &gt;1 – aggregated dispersion</w:t>
      </w:r>
    </w:p>
    <w:p w:rsidR="00106892" w:rsidRDefault="00106892" w:rsidP="00106892">
      <w:pPr>
        <w:pStyle w:val="ListParagraph"/>
        <w:numPr>
          <w:ilvl w:val="0"/>
          <w:numId w:val="1"/>
        </w:numPr>
        <w:ind w:right="60"/>
        <w:jc w:val="both"/>
      </w:pPr>
      <w:r>
        <w:t>I = 0, the distribution is random, positive value for negative binomial (aggregated) and negative value for positive binomial (regular) distribution.</w:t>
      </w:r>
    </w:p>
    <w:p w:rsidR="00106892" w:rsidRDefault="00106892" w:rsidP="00106892">
      <w:pPr>
        <w:pStyle w:val="ListParagraph"/>
        <w:numPr>
          <w:ilvl w:val="0"/>
          <w:numId w:val="1"/>
        </w:numPr>
        <w:ind w:right="60"/>
        <w:jc w:val="both"/>
      </w:pPr>
      <w:proofErr w:type="spellStart"/>
      <w:r>
        <w:t>C</w:t>
      </w:r>
      <w:r w:rsidRPr="004D548E">
        <w:rPr>
          <w:vertAlign w:val="subscript"/>
        </w:rPr>
        <w:t>x</w:t>
      </w:r>
      <w:proofErr w:type="spellEnd"/>
      <w:r>
        <w:t xml:space="preserve"> &lt;0 – regular or uniform dispersion, </w:t>
      </w:r>
      <w:proofErr w:type="spellStart"/>
      <w:r>
        <w:t>C</w:t>
      </w:r>
      <w:r w:rsidRPr="004D548E">
        <w:rPr>
          <w:vertAlign w:val="subscript"/>
        </w:rPr>
        <w:t>x</w:t>
      </w:r>
      <w:proofErr w:type="spellEnd"/>
      <w:r>
        <w:t xml:space="preserve"> = 0 - random dispersion and </w:t>
      </w:r>
      <w:proofErr w:type="spellStart"/>
      <w:r>
        <w:t>C</w:t>
      </w:r>
      <w:r w:rsidRPr="004D548E">
        <w:rPr>
          <w:vertAlign w:val="subscript"/>
        </w:rPr>
        <w:t>x</w:t>
      </w:r>
      <w:proofErr w:type="spellEnd"/>
      <w:r>
        <w:t>&gt; 0 - aggregated dispersion</w:t>
      </w:r>
    </w:p>
    <w:p w:rsidR="00106892" w:rsidRDefault="00106892" w:rsidP="00106892">
      <w:pPr>
        <w:pStyle w:val="ListParagraph"/>
        <w:tabs>
          <w:tab w:val="left" w:pos="720"/>
        </w:tabs>
        <w:ind w:left="360" w:right="60"/>
        <w:jc w:val="both"/>
      </w:pPr>
    </w:p>
    <w:p w:rsidR="00C61277" w:rsidRDefault="00106892"/>
    <w:sectPr w:rsidR="00C61277" w:rsidSect="002D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B048A"/>
    <w:multiLevelType w:val="hybridMultilevel"/>
    <w:tmpl w:val="B3D80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892"/>
    <w:rsid w:val="00025655"/>
    <w:rsid w:val="00106892"/>
    <w:rsid w:val="002D4F69"/>
    <w:rsid w:val="00EB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ainpao</dc:creator>
  <cp:lastModifiedBy>ainpao</cp:lastModifiedBy>
  <cp:revision>1</cp:revision>
  <dcterms:created xsi:type="dcterms:W3CDTF">2013-05-02T09:38:00Z</dcterms:created>
  <dcterms:modified xsi:type="dcterms:W3CDTF">2013-05-02T09:39:00Z</dcterms:modified>
</cp:coreProperties>
</file>